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55" w:rsidRDefault="0012555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125555" w:rsidRDefault="0012555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 w:rsidR="006B2E78">
        <w:rPr>
          <w:rFonts w:cs="Arial"/>
          <w:b/>
          <w:bCs/>
        </w:rPr>
        <w:t>City Executive Board</w:t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6B2E78">
        <w:rPr>
          <w:rFonts w:cs="Arial"/>
          <w:b/>
          <w:bCs/>
        </w:rPr>
        <w:t xml:space="preserve">17 December </w:t>
      </w:r>
      <w:r w:rsidR="00DB30A2" w:rsidRPr="00DB30A2">
        <w:rPr>
          <w:rFonts w:cs="Arial"/>
          <w:b/>
          <w:bCs/>
        </w:rPr>
        <w:t>2015</w:t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</w:r>
      <w:r w:rsidR="00DB30A2">
        <w:rPr>
          <w:rFonts w:cs="Arial"/>
          <w:b/>
          <w:bCs/>
        </w:rPr>
        <w:t>Director of Regeneration &amp; Housing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6B2E78">
        <w:rPr>
          <w:rFonts w:cs="Arial"/>
          <w:b/>
          <w:bCs/>
        </w:rPr>
        <w:t xml:space="preserve">The Old School, </w:t>
      </w:r>
      <w:r w:rsidR="00A94D8F">
        <w:rPr>
          <w:rFonts w:cs="Arial"/>
          <w:b/>
          <w:bCs/>
        </w:rPr>
        <w:t>Gloucester Green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E13077">
        <w:rPr>
          <w:rFonts w:cs="Arial"/>
        </w:rPr>
        <w:t xml:space="preserve">Approve the principle of </w:t>
      </w:r>
      <w:r w:rsidR="006B2E78">
        <w:rPr>
          <w:rFonts w:cs="Arial"/>
        </w:rPr>
        <w:t>acquiring</w:t>
      </w:r>
      <w:r w:rsidR="00CD0BBE">
        <w:rPr>
          <w:rFonts w:cs="Arial"/>
        </w:rPr>
        <w:t xml:space="preserve"> the long leasehold interest in The Old School, Gloucester Green</w:t>
      </w:r>
      <w:r w:rsidR="00E13077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>Key decision</w:t>
      </w:r>
      <w:r w:rsidR="00DB30A2">
        <w:rPr>
          <w:bCs w:val="0"/>
        </w:rPr>
        <w:t>:</w:t>
      </w:r>
      <w:r>
        <w:rPr>
          <w:bCs w:val="0"/>
        </w:rPr>
        <w:t xml:space="preserve"> </w:t>
      </w:r>
      <w:r w:rsidR="00DB30A2">
        <w:rPr>
          <w:bCs w:val="0"/>
        </w:rPr>
        <w:t xml:space="preserve"> </w:t>
      </w:r>
      <w:r w:rsidR="00A94D8F" w:rsidRPr="00DB30A2">
        <w:rPr>
          <w:b w:val="0"/>
          <w:bCs w:val="0"/>
        </w:rPr>
        <w:t>Yes</w:t>
      </w:r>
      <w:r w:rsidR="00F4367A">
        <w:rPr>
          <w:bCs w:val="0"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A17B8D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 xml:space="preserve">Executive lead member: </w:t>
      </w:r>
      <w:r w:rsidR="00DB30A2">
        <w:rPr>
          <w:rFonts w:cs="Arial"/>
          <w:b/>
          <w:bCs/>
        </w:rPr>
        <w:t xml:space="preserve"> </w:t>
      </w:r>
      <w:r w:rsidR="00A17B8D" w:rsidRPr="00A17B8D">
        <w:rPr>
          <w:rFonts w:cs="Arial"/>
          <w:bCs/>
        </w:rPr>
        <w:t>Councillor Ed Turner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Policy Framework: </w:t>
      </w:r>
      <w:r w:rsidR="00DB30A2">
        <w:rPr>
          <w:rFonts w:cs="Arial"/>
          <w:b/>
          <w:bCs/>
        </w:rPr>
        <w:t xml:space="preserve"> </w:t>
      </w:r>
      <w:r w:rsidR="00A17B8D" w:rsidRPr="00A17B8D">
        <w:rPr>
          <w:rFonts w:cs="Arial"/>
          <w:bCs/>
        </w:rPr>
        <w:t>Efficient and effective Council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A9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 xml:space="preserve">Recommendation(s): </w:t>
      </w:r>
      <w:r w:rsidR="002C347D">
        <w:rPr>
          <w:rFonts w:cs="Arial"/>
          <w:b/>
        </w:rPr>
        <w:t>That the City Executive Board resolves to:</w:t>
      </w:r>
    </w:p>
    <w:p w:rsidR="00A94D8F" w:rsidRDefault="00A9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A94D8F" w:rsidRPr="002C347D" w:rsidRDefault="002C347D" w:rsidP="00A94D8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 w:rsidRPr="002C347D">
        <w:rPr>
          <w:rFonts w:ascii="Arial" w:hAnsi="Arial" w:cs="Arial"/>
          <w:b/>
          <w:sz w:val="24"/>
          <w:szCs w:val="24"/>
        </w:rPr>
        <w:t>Approve</w:t>
      </w:r>
      <w:r w:rsidRPr="002C347D">
        <w:rPr>
          <w:rFonts w:ascii="Arial" w:hAnsi="Arial" w:cs="Arial"/>
          <w:sz w:val="24"/>
          <w:szCs w:val="24"/>
        </w:rPr>
        <w:t xml:space="preserve"> </w:t>
      </w:r>
      <w:r w:rsidR="00076B4C" w:rsidRPr="002C347D">
        <w:rPr>
          <w:rFonts w:ascii="Arial" w:hAnsi="Arial" w:cs="Arial"/>
          <w:sz w:val="24"/>
          <w:szCs w:val="24"/>
        </w:rPr>
        <w:t xml:space="preserve">the </w:t>
      </w:r>
      <w:r w:rsidR="00CD0BBE" w:rsidRPr="002C347D">
        <w:rPr>
          <w:rFonts w:ascii="Arial" w:hAnsi="Arial" w:cs="Arial"/>
          <w:sz w:val="24"/>
          <w:szCs w:val="24"/>
        </w:rPr>
        <w:t>acqui</w:t>
      </w:r>
      <w:r w:rsidR="00076B4C" w:rsidRPr="002C347D">
        <w:rPr>
          <w:rFonts w:ascii="Arial" w:hAnsi="Arial" w:cs="Arial"/>
          <w:sz w:val="24"/>
          <w:szCs w:val="24"/>
        </w:rPr>
        <w:t xml:space="preserve">sition of </w:t>
      </w:r>
      <w:r w:rsidR="00CD0BBE" w:rsidRPr="002C347D">
        <w:rPr>
          <w:rFonts w:ascii="Arial" w:hAnsi="Arial" w:cs="Arial"/>
          <w:sz w:val="24"/>
          <w:szCs w:val="24"/>
        </w:rPr>
        <w:t>the long leasehold interest in The Old School, Gloucester Green provid</w:t>
      </w:r>
      <w:r w:rsidR="00E53236" w:rsidRPr="002C347D">
        <w:rPr>
          <w:rFonts w:ascii="Arial" w:hAnsi="Arial" w:cs="Arial"/>
          <w:sz w:val="24"/>
          <w:szCs w:val="24"/>
        </w:rPr>
        <w:t>ing</w:t>
      </w:r>
      <w:r w:rsidR="00CD0BBE" w:rsidRPr="002C347D">
        <w:rPr>
          <w:rFonts w:ascii="Arial" w:hAnsi="Arial" w:cs="Arial"/>
          <w:sz w:val="24"/>
          <w:szCs w:val="24"/>
        </w:rPr>
        <w:t xml:space="preserve"> the Council</w:t>
      </w:r>
      <w:r w:rsidR="00A03F76" w:rsidRPr="002C347D">
        <w:rPr>
          <w:rFonts w:ascii="Arial" w:hAnsi="Arial" w:cs="Arial"/>
          <w:sz w:val="24"/>
          <w:szCs w:val="24"/>
        </w:rPr>
        <w:t>’s investment portfolio</w:t>
      </w:r>
      <w:r w:rsidR="00CD0BBE" w:rsidRPr="002C347D">
        <w:rPr>
          <w:rFonts w:ascii="Arial" w:hAnsi="Arial" w:cs="Arial"/>
          <w:sz w:val="24"/>
          <w:szCs w:val="24"/>
        </w:rPr>
        <w:t xml:space="preserve"> with</w:t>
      </w:r>
      <w:r w:rsidR="00E53236" w:rsidRPr="002C347D">
        <w:rPr>
          <w:rFonts w:ascii="Arial" w:hAnsi="Arial" w:cs="Arial"/>
          <w:sz w:val="24"/>
          <w:szCs w:val="24"/>
        </w:rPr>
        <w:t xml:space="preserve"> additional income of £58,000 per annum</w:t>
      </w:r>
      <w:r w:rsidR="00794957" w:rsidRPr="002C347D">
        <w:rPr>
          <w:rFonts w:ascii="Arial" w:hAnsi="Arial" w:cs="Arial"/>
          <w:sz w:val="24"/>
          <w:szCs w:val="24"/>
        </w:rPr>
        <w:t xml:space="preserve">, </w:t>
      </w:r>
      <w:r w:rsidR="00076B4C" w:rsidRPr="002C347D">
        <w:rPr>
          <w:rFonts w:ascii="Arial" w:hAnsi="Arial" w:cs="Arial"/>
          <w:sz w:val="24"/>
          <w:szCs w:val="24"/>
        </w:rPr>
        <w:t>and make a recommendation to Council to increase the budget within the Council</w:t>
      </w:r>
      <w:r w:rsidR="00794957" w:rsidRPr="002C347D">
        <w:rPr>
          <w:rFonts w:ascii="Arial" w:hAnsi="Arial" w:cs="Arial"/>
          <w:sz w:val="24"/>
          <w:szCs w:val="24"/>
        </w:rPr>
        <w:t>’</w:t>
      </w:r>
      <w:r w:rsidR="00076B4C" w:rsidRPr="002C347D">
        <w:rPr>
          <w:rFonts w:ascii="Arial" w:hAnsi="Arial" w:cs="Arial"/>
          <w:sz w:val="24"/>
          <w:szCs w:val="24"/>
        </w:rPr>
        <w:t xml:space="preserve">s capital programme by </w:t>
      </w:r>
      <w:r w:rsidR="009E34B8" w:rsidRPr="002C347D">
        <w:rPr>
          <w:rFonts w:ascii="Arial" w:hAnsi="Arial" w:cs="Arial"/>
          <w:sz w:val="24"/>
          <w:szCs w:val="24"/>
        </w:rPr>
        <w:t>the requisite amount</w:t>
      </w:r>
      <w:r w:rsidR="00076B4C" w:rsidRPr="002C347D">
        <w:rPr>
          <w:rFonts w:ascii="Arial" w:hAnsi="Arial" w:cs="Arial"/>
          <w:sz w:val="24"/>
          <w:szCs w:val="24"/>
        </w:rPr>
        <w:t xml:space="preserve"> in 2015/16</w:t>
      </w:r>
      <w:r w:rsidR="00794957" w:rsidRPr="002C347D">
        <w:rPr>
          <w:rFonts w:ascii="Arial" w:hAnsi="Arial" w:cs="Arial"/>
          <w:sz w:val="24"/>
          <w:szCs w:val="24"/>
        </w:rPr>
        <w:t>.</w:t>
      </w:r>
    </w:p>
    <w:p w:rsidR="00F4367A" w:rsidRDefault="00F4367A">
      <w:pPr>
        <w:rPr>
          <w:rFonts w:cs="Arial"/>
        </w:rPr>
      </w:pPr>
    </w:p>
    <w:p w:rsidR="00996072" w:rsidRDefault="00713675">
      <w:pPr>
        <w:rPr>
          <w:rFonts w:cs="Arial"/>
          <w:b/>
        </w:rPr>
      </w:pPr>
      <w:r w:rsidRPr="007B6E54">
        <w:rPr>
          <w:rFonts w:cs="Arial"/>
          <w:b/>
        </w:rPr>
        <w:t>Appendices</w:t>
      </w:r>
    </w:p>
    <w:p w:rsidR="005F5EF2" w:rsidRDefault="005F5EF2">
      <w:pPr>
        <w:rPr>
          <w:rFonts w:cs="Arial"/>
        </w:rPr>
      </w:pPr>
    </w:p>
    <w:p w:rsidR="00A03F76" w:rsidRDefault="00996072">
      <w:pPr>
        <w:rPr>
          <w:rFonts w:cs="Arial"/>
        </w:rPr>
      </w:pPr>
      <w:r>
        <w:rPr>
          <w:rFonts w:cs="Arial"/>
        </w:rPr>
        <w:t xml:space="preserve">Appendix 1 </w:t>
      </w:r>
      <w:r w:rsidR="002C347D">
        <w:rPr>
          <w:rFonts w:cs="Arial"/>
        </w:rPr>
        <w:t>–</w:t>
      </w:r>
      <w:r w:rsidR="008A2C85">
        <w:rPr>
          <w:rFonts w:cs="Arial"/>
        </w:rPr>
        <w:t xml:space="preserve"> </w:t>
      </w:r>
      <w:r w:rsidR="002C347D">
        <w:rPr>
          <w:rFonts w:cs="Arial"/>
        </w:rPr>
        <w:t>Not for publication</w:t>
      </w:r>
      <w:r w:rsidR="00EF3528">
        <w:rPr>
          <w:rFonts w:cs="Arial"/>
        </w:rPr>
        <w:t xml:space="preserve"> (</w:t>
      </w:r>
      <w:r w:rsidR="005F5EF2">
        <w:rPr>
          <w:rFonts w:cs="Arial"/>
        </w:rPr>
        <w:t>Acquisition price and i</w:t>
      </w:r>
      <w:r w:rsidR="008A2C85">
        <w:rPr>
          <w:rFonts w:cs="Arial"/>
        </w:rPr>
        <w:t>mpact on return profile of investment portfolio</w:t>
      </w:r>
      <w:r w:rsidR="00EF3528">
        <w:rPr>
          <w:rFonts w:cs="Arial"/>
        </w:rPr>
        <w:t>)</w:t>
      </w:r>
    </w:p>
    <w:p w:rsidR="005F5EF2" w:rsidRDefault="005F5EF2">
      <w:pPr>
        <w:rPr>
          <w:rFonts w:cs="Arial"/>
        </w:rPr>
      </w:pPr>
    </w:p>
    <w:p w:rsidR="00996072" w:rsidRDefault="00A03F76">
      <w:pPr>
        <w:rPr>
          <w:rFonts w:cs="Arial"/>
        </w:rPr>
      </w:pPr>
      <w:r>
        <w:rPr>
          <w:rFonts w:cs="Arial"/>
        </w:rPr>
        <w:t xml:space="preserve">Appendix 2 - </w:t>
      </w:r>
      <w:r w:rsidR="005012C8">
        <w:rPr>
          <w:rFonts w:cs="Arial"/>
        </w:rPr>
        <w:t>R</w:t>
      </w:r>
      <w:r w:rsidR="000D315C">
        <w:rPr>
          <w:rFonts w:cs="Arial"/>
        </w:rPr>
        <w:t>isk Register</w:t>
      </w:r>
    </w:p>
    <w:p w:rsidR="006E3B55" w:rsidRPr="00996072" w:rsidRDefault="006E3B55">
      <w:pPr>
        <w:rPr>
          <w:rFonts w:cs="Arial"/>
          <w:b/>
        </w:rPr>
      </w:pPr>
    </w:p>
    <w:p w:rsidR="007B6E54" w:rsidRPr="00996072" w:rsidRDefault="007B6E54">
      <w:pPr>
        <w:rPr>
          <w:rFonts w:cs="Arial"/>
          <w:b/>
        </w:rPr>
      </w:pPr>
      <w:r w:rsidRPr="00996072">
        <w:rPr>
          <w:rFonts w:cs="Arial"/>
          <w:b/>
        </w:rPr>
        <w:t>Background</w:t>
      </w:r>
    </w:p>
    <w:p w:rsidR="00125555" w:rsidRPr="00996072" w:rsidRDefault="00125555" w:rsidP="00125555">
      <w:pPr>
        <w:jc w:val="both"/>
        <w:rPr>
          <w:rFonts w:cs="Arial"/>
          <w:b/>
        </w:rPr>
      </w:pPr>
    </w:p>
    <w:p w:rsidR="00CF1753" w:rsidRDefault="00FA6FC0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a</w:t>
      </w:r>
      <w:r w:rsidR="002B76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opportunity to acquire the long leasehold interest in The Old School, Gloucester Green.  </w:t>
      </w:r>
    </w:p>
    <w:p w:rsidR="00CF1753" w:rsidRPr="00FA6FC0" w:rsidRDefault="00CF1753" w:rsidP="002C347D">
      <w:pPr>
        <w:jc w:val="both"/>
        <w:rPr>
          <w:rFonts w:cs="Arial"/>
        </w:rPr>
      </w:pPr>
    </w:p>
    <w:p w:rsidR="00125555" w:rsidRPr="00996072" w:rsidRDefault="00125555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96072">
        <w:rPr>
          <w:rFonts w:ascii="Arial" w:hAnsi="Arial" w:cs="Arial"/>
          <w:sz w:val="24"/>
          <w:szCs w:val="24"/>
        </w:rPr>
        <w:t xml:space="preserve">The City Council owns the freehold interest </w:t>
      </w:r>
      <w:r w:rsidR="00FA6FC0">
        <w:rPr>
          <w:rFonts w:ascii="Arial" w:hAnsi="Arial" w:cs="Arial"/>
          <w:sz w:val="24"/>
          <w:szCs w:val="24"/>
        </w:rPr>
        <w:t>in the whole p</w:t>
      </w:r>
      <w:r w:rsidR="004231A3">
        <w:rPr>
          <w:rFonts w:ascii="Arial" w:hAnsi="Arial" w:cs="Arial"/>
          <w:sz w:val="24"/>
          <w:szCs w:val="24"/>
        </w:rPr>
        <w:t>roperty comprising a total of 7,</w:t>
      </w:r>
      <w:r w:rsidR="00FA6FC0">
        <w:rPr>
          <w:rFonts w:ascii="Arial" w:hAnsi="Arial" w:cs="Arial"/>
          <w:sz w:val="24"/>
          <w:szCs w:val="24"/>
        </w:rPr>
        <w:t>091 ft</w:t>
      </w:r>
      <w:r w:rsidR="00FA6FC0" w:rsidRPr="00FA6FC0">
        <w:rPr>
          <w:rFonts w:ascii="Arial" w:hAnsi="Arial" w:cs="Arial"/>
          <w:sz w:val="24"/>
          <w:szCs w:val="24"/>
          <w:vertAlign w:val="superscript"/>
        </w:rPr>
        <w:t>2</w:t>
      </w:r>
      <w:r w:rsidR="00FA6FC0">
        <w:rPr>
          <w:rFonts w:ascii="Arial" w:hAnsi="Arial" w:cs="Arial"/>
          <w:sz w:val="24"/>
          <w:szCs w:val="24"/>
        </w:rPr>
        <w:t>.</w:t>
      </w:r>
      <w:r w:rsidRPr="00996072">
        <w:rPr>
          <w:rFonts w:ascii="Arial" w:hAnsi="Arial" w:cs="Arial"/>
          <w:sz w:val="24"/>
          <w:szCs w:val="24"/>
        </w:rPr>
        <w:t xml:space="preserve"> </w:t>
      </w:r>
      <w:r w:rsidR="002B763B">
        <w:rPr>
          <w:rFonts w:ascii="Arial" w:hAnsi="Arial" w:cs="Arial"/>
          <w:sz w:val="24"/>
          <w:szCs w:val="24"/>
        </w:rPr>
        <w:t>The property is occupied by a restaurant (My Sichuan Restaurant) on two separate leases.</w:t>
      </w:r>
      <w:r w:rsidRPr="00996072">
        <w:rPr>
          <w:rFonts w:ascii="Arial" w:hAnsi="Arial" w:cs="Arial"/>
          <w:sz w:val="24"/>
          <w:szCs w:val="24"/>
        </w:rPr>
        <w:t xml:space="preserve"> </w:t>
      </w:r>
      <w:r w:rsidR="000A1872">
        <w:rPr>
          <w:rFonts w:ascii="Arial" w:hAnsi="Arial" w:cs="Arial"/>
          <w:sz w:val="24"/>
          <w:szCs w:val="24"/>
        </w:rPr>
        <w:t>The majority (i.e. 5,796 ft</w:t>
      </w:r>
      <w:r w:rsidR="000A1872" w:rsidRPr="00574A1A">
        <w:rPr>
          <w:rFonts w:ascii="Arial" w:hAnsi="Arial" w:cs="Arial"/>
          <w:sz w:val="24"/>
          <w:szCs w:val="24"/>
          <w:vertAlign w:val="superscript"/>
        </w:rPr>
        <w:t>2</w:t>
      </w:r>
      <w:r w:rsidR="000A1872">
        <w:rPr>
          <w:rFonts w:ascii="Arial" w:hAnsi="Arial" w:cs="Arial"/>
          <w:sz w:val="24"/>
          <w:szCs w:val="24"/>
        </w:rPr>
        <w:t xml:space="preserve"> being 81.7%) is subject to a long lease</w:t>
      </w:r>
      <w:r w:rsidR="0095250D">
        <w:rPr>
          <w:rFonts w:ascii="Arial" w:hAnsi="Arial" w:cs="Arial"/>
          <w:sz w:val="24"/>
          <w:szCs w:val="24"/>
        </w:rPr>
        <w:t xml:space="preserve"> to a private investor</w:t>
      </w:r>
      <w:r w:rsidR="000A1872">
        <w:rPr>
          <w:rFonts w:ascii="Arial" w:hAnsi="Arial" w:cs="Arial"/>
          <w:sz w:val="24"/>
          <w:szCs w:val="24"/>
        </w:rPr>
        <w:t xml:space="preserve"> for a peppercorn only, meaning the City Council receives no economic benefit from the majority of the building.  The long lease expires in 2122.</w:t>
      </w:r>
      <w:r w:rsidR="0095250D">
        <w:rPr>
          <w:rFonts w:ascii="Arial" w:hAnsi="Arial" w:cs="Arial"/>
          <w:sz w:val="24"/>
          <w:szCs w:val="24"/>
        </w:rPr>
        <w:t xml:space="preserve"> </w:t>
      </w:r>
      <w:r w:rsidR="00365AD4">
        <w:rPr>
          <w:rFonts w:ascii="Arial" w:hAnsi="Arial" w:cs="Arial"/>
          <w:sz w:val="24"/>
          <w:szCs w:val="24"/>
        </w:rPr>
        <w:t xml:space="preserve"> </w:t>
      </w:r>
      <w:r w:rsidR="0095250D">
        <w:rPr>
          <w:rFonts w:ascii="Arial" w:hAnsi="Arial" w:cs="Arial"/>
          <w:sz w:val="24"/>
          <w:szCs w:val="24"/>
        </w:rPr>
        <w:t xml:space="preserve">The private investor has a lease with the restaurant which occupies the property. The proposal is for the Council to acquire the long leasehold interest, and benefit </w:t>
      </w:r>
      <w:r w:rsidR="0050472D">
        <w:rPr>
          <w:rFonts w:ascii="Arial" w:hAnsi="Arial" w:cs="Arial"/>
          <w:sz w:val="24"/>
          <w:szCs w:val="24"/>
        </w:rPr>
        <w:t xml:space="preserve">from </w:t>
      </w:r>
      <w:r w:rsidR="0095250D">
        <w:rPr>
          <w:rFonts w:ascii="Arial" w:hAnsi="Arial" w:cs="Arial"/>
          <w:sz w:val="24"/>
          <w:szCs w:val="24"/>
        </w:rPr>
        <w:t>the income from the o</w:t>
      </w:r>
      <w:r w:rsidR="00365AD4">
        <w:rPr>
          <w:rFonts w:ascii="Arial" w:hAnsi="Arial" w:cs="Arial"/>
          <w:sz w:val="24"/>
          <w:szCs w:val="24"/>
        </w:rPr>
        <w:t>ccupationa</w:t>
      </w:r>
      <w:r w:rsidR="0095250D">
        <w:rPr>
          <w:rFonts w:ascii="Arial" w:hAnsi="Arial" w:cs="Arial"/>
          <w:sz w:val="24"/>
          <w:szCs w:val="24"/>
        </w:rPr>
        <w:t>l lease.</w:t>
      </w:r>
      <w:r w:rsidR="002B763B">
        <w:rPr>
          <w:rFonts w:ascii="Arial" w:hAnsi="Arial" w:cs="Arial"/>
          <w:sz w:val="24"/>
          <w:szCs w:val="24"/>
        </w:rPr>
        <w:t xml:space="preserve"> </w:t>
      </w:r>
    </w:p>
    <w:p w:rsidR="00125555" w:rsidRPr="00996072" w:rsidRDefault="00125555" w:rsidP="002C347D">
      <w:pPr>
        <w:jc w:val="both"/>
        <w:rPr>
          <w:rFonts w:cs="Arial"/>
        </w:rPr>
      </w:pPr>
    </w:p>
    <w:p w:rsidR="00125555" w:rsidRPr="00996072" w:rsidRDefault="000A1872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D55F5">
        <w:rPr>
          <w:rFonts w:ascii="Arial" w:hAnsi="Arial" w:cs="Arial"/>
          <w:sz w:val="24"/>
          <w:szCs w:val="24"/>
        </w:rPr>
        <w:t xml:space="preserve">remaining </w:t>
      </w:r>
      <w:r>
        <w:rPr>
          <w:rFonts w:ascii="Arial" w:hAnsi="Arial" w:cs="Arial"/>
          <w:sz w:val="24"/>
          <w:szCs w:val="24"/>
        </w:rPr>
        <w:t>1,295 ft</w:t>
      </w:r>
      <w:r w:rsidRPr="007334C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(18.3% by area) which is not subject to a long lease</w:t>
      </w:r>
      <w:r w:rsidR="007334C5">
        <w:rPr>
          <w:rFonts w:ascii="Arial" w:hAnsi="Arial" w:cs="Arial"/>
          <w:sz w:val="24"/>
          <w:szCs w:val="24"/>
        </w:rPr>
        <w:t xml:space="preserve"> is let by the Council on an occupational lease to My Sichuan Restaurant Limited at a rent of £35,000 per annum, which equates to £27.03 per ft</w:t>
      </w:r>
      <w:r w:rsidR="007334C5" w:rsidRPr="007334C5">
        <w:rPr>
          <w:rFonts w:ascii="Arial" w:hAnsi="Arial" w:cs="Arial"/>
          <w:sz w:val="24"/>
          <w:szCs w:val="24"/>
          <w:vertAlign w:val="superscript"/>
        </w:rPr>
        <w:t>2</w:t>
      </w:r>
      <w:r w:rsidR="007334C5">
        <w:rPr>
          <w:rFonts w:ascii="Arial" w:hAnsi="Arial" w:cs="Arial"/>
          <w:sz w:val="24"/>
          <w:szCs w:val="24"/>
        </w:rPr>
        <w:t>.  This lease runs until September 2031.</w:t>
      </w:r>
    </w:p>
    <w:p w:rsidR="00125555" w:rsidRPr="00996072" w:rsidRDefault="00125555" w:rsidP="002C347D">
      <w:pPr>
        <w:jc w:val="both"/>
        <w:rPr>
          <w:rFonts w:cs="Arial"/>
        </w:rPr>
      </w:pPr>
    </w:p>
    <w:p w:rsidR="00125555" w:rsidRPr="00996072" w:rsidRDefault="00BD55F5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long leasehold part of the property - i.e. the target acquisition – is also let to My Sichuan Restaurant Limited on an occupational lease expiring in 2025 at a current rent of £58,000 per annum (equating to £10.01 per ft2).  There are two further rent reviews in 2018 and 2022</w:t>
      </w:r>
      <w:r w:rsidR="00125555" w:rsidRPr="00996072">
        <w:rPr>
          <w:rFonts w:ascii="Arial" w:hAnsi="Arial" w:cs="Arial"/>
          <w:sz w:val="24"/>
          <w:szCs w:val="24"/>
        </w:rPr>
        <w:t>.</w:t>
      </w:r>
    </w:p>
    <w:p w:rsidR="00125555" w:rsidRPr="00996072" w:rsidRDefault="00125555" w:rsidP="002C347D">
      <w:pPr>
        <w:jc w:val="both"/>
        <w:rPr>
          <w:rFonts w:cs="Arial"/>
        </w:rPr>
      </w:pPr>
    </w:p>
    <w:p w:rsidR="00125555" w:rsidRDefault="00BD55F5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Council believes an </w:t>
      </w:r>
      <w:r w:rsidR="000D2A3B">
        <w:rPr>
          <w:rFonts w:ascii="Arial" w:hAnsi="Arial" w:cs="Arial"/>
          <w:sz w:val="24"/>
          <w:szCs w:val="24"/>
        </w:rPr>
        <w:t>offer would be taken seriously by the Vendor.</w:t>
      </w:r>
    </w:p>
    <w:p w:rsidR="000D2A3B" w:rsidRPr="000D2A3B" w:rsidRDefault="000D2A3B" w:rsidP="002C347D">
      <w:pPr>
        <w:pStyle w:val="ListParagraph"/>
        <w:ind w:left="436"/>
        <w:rPr>
          <w:rFonts w:ascii="Arial" w:hAnsi="Arial" w:cs="Arial"/>
          <w:sz w:val="24"/>
          <w:szCs w:val="24"/>
        </w:rPr>
      </w:pPr>
    </w:p>
    <w:p w:rsidR="000D2A3B" w:rsidRDefault="000D2A3B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summary, the acquisition:-</w:t>
      </w:r>
    </w:p>
    <w:p w:rsidR="000D2A3B" w:rsidRPr="000D2A3B" w:rsidRDefault="000D2A3B" w:rsidP="002C347D">
      <w:pPr>
        <w:pStyle w:val="ListParagraph"/>
        <w:ind w:left="436"/>
        <w:rPr>
          <w:rFonts w:ascii="Arial" w:hAnsi="Arial" w:cs="Arial"/>
          <w:sz w:val="24"/>
          <w:szCs w:val="24"/>
        </w:rPr>
      </w:pPr>
    </w:p>
    <w:p w:rsidR="000D2A3B" w:rsidRDefault="000D2A3B" w:rsidP="002C347D">
      <w:pPr>
        <w:pStyle w:val="ListParagraph"/>
        <w:numPr>
          <w:ilvl w:val="1"/>
          <w:numId w:val="2"/>
        </w:numPr>
        <w:spacing w:after="0"/>
        <w:ind w:left="1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fit with the City Council’s strategic plans for Gloucester Green in terms of ownership and control.</w:t>
      </w:r>
    </w:p>
    <w:p w:rsidR="000D2A3B" w:rsidRDefault="000D2A3B" w:rsidP="002C347D">
      <w:pPr>
        <w:pStyle w:val="ListParagraph"/>
        <w:spacing w:after="0"/>
        <w:ind w:left="1156"/>
        <w:jc w:val="both"/>
        <w:rPr>
          <w:rFonts w:ascii="Arial" w:hAnsi="Arial" w:cs="Arial"/>
          <w:sz w:val="24"/>
          <w:szCs w:val="24"/>
        </w:rPr>
      </w:pPr>
    </w:p>
    <w:p w:rsidR="000D2A3B" w:rsidRDefault="000D2A3B" w:rsidP="002C347D">
      <w:pPr>
        <w:pStyle w:val="ListParagraph"/>
        <w:numPr>
          <w:ilvl w:val="1"/>
          <w:numId w:val="2"/>
        </w:numPr>
        <w:spacing w:after="0"/>
        <w:ind w:left="1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priced attractively for a City Centre retail property with good income potential in the medium-term.</w:t>
      </w:r>
    </w:p>
    <w:p w:rsidR="000D2A3B" w:rsidRPr="000D2A3B" w:rsidRDefault="000D2A3B" w:rsidP="002C347D">
      <w:pPr>
        <w:pStyle w:val="ListParagraph"/>
        <w:ind w:left="436"/>
        <w:rPr>
          <w:rFonts w:ascii="Arial" w:hAnsi="Arial" w:cs="Arial"/>
          <w:sz w:val="24"/>
          <w:szCs w:val="24"/>
        </w:rPr>
      </w:pPr>
    </w:p>
    <w:p w:rsidR="000D2A3B" w:rsidRDefault="000D2A3B" w:rsidP="002C347D">
      <w:pPr>
        <w:pStyle w:val="ListParagraph"/>
        <w:numPr>
          <w:ilvl w:val="1"/>
          <w:numId w:val="2"/>
        </w:numPr>
        <w:spacing w:after="0"/>
        <w:ind w:left="1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present the City Council with some valuation uplift as a direct result of the financial covenant of My Sichuan Restaurant improving in the medium to long-term; the restaurant has an improving national profile. </w:t>
      </w:r>
    </w:p>
    <w:p w:rsidR="00996072" w:rsidRDefault="00996072" w:rsidP="002C347D">
      <w:pPr>
        <w:jc w:val="both"/>
        <w:rPr>
          <w:rFonts w:cs="Arial"/>
        </w:rPr>
      </w:pPr>
    </w:p>
    <w:p w:rsidR="003E4219" w:rsidRDefault="003E4219" w:rsidP="002C347D">
      <w:pPr>
        <w:pStyle w:val="ListParagraph"/>
        <w:numPr>
          <w:ilvl w:val="0"/>
          <w:numId w:val="2"/>
        </w:numPr>
        <w:spacing w:after="0"/>
        <w:ind w:left="430" w:hanging="357"/>
        <w:jc w:val="both"/>
        <w:rPr>
          <w:rFonts w:ascii="Arial" w:hAnsi="Arial" w:cs="Arial"/>
          <w:sz w:val="24"/>
          <w:szCs w:val="24"/>
        </w:rPr>
      </w:pPr>
      <w:r w:rsidRPr="00DF3A04">
        <w:rPr>
          <w:rFonts w:ascii="Arial" w:hAnsi="Arial" w:cs="Arial"/>
          <w:sz w:val="24"/>
          <w:szCs w:val="24"/>
        </w:rPr>
        <w:t xml:space="preserve">The </w:t>
      </w:r>
      <w:r w:rsidR="0050472D">
        <w:rPr>
          <w:rFonts w:ascii="Arial" w:hAnsi="Arial" w:cs="Arial"/>
          <w:sz w:val="24"/>
          <w:szCs w:val="24"/>
        </w:rPr>
        <w:t xml:space="preserve">proposed acquisition price and the </w:t>
      </w:r>
      <w:r w:rsidR="00DF3A04" w:rsidRPr="00DF3A04">
        <w:rPr>
          <w:rFonts w:ascii="Arial" w:hAnsi="Arial" w:cs="Arial"/>
          <w:sz w:val="24"/>
          <w:szCs w:val="24"/>
        </w:rPr>
        <w:t xml:space="preserve">positive impact on the return profile of the investment portfolio </w:t>
      </w:r>
      <w:proofErr w:type="gramStart"/>
      <w:r w:rsidR="00DF3A04" w:rsidRPr="00DF3A04">
        <w:rPr>
          <w:rFonts w:ascii="Arial" w:hAnsi="Arial" w:cs="Arial"/>
          <w:sz w:val="24"/>
          <w:szCs w:val="24"/>
        </w:rPr>
        <w:t>is</w:t>
      </w:r>
      <w:proofErr w:type="gramEnd"/>
      <w:r w:rsidR="00DF3A04" w:rsidRPr="00DF3A04">
        <w:rPr>
          <w:rFonts w:ascii="Arial" w:hAnsi="Arial" w:cs="Arial"/>
          <w:sz w:val="24"/>
          <w:szCs w:val="24"/>
        </w:rPr>
        <w:t xml:space="preserve"> set in Appendix 1 (confidential).</w:t>
      </w:r>
    </w:p>
    <w:p w:rsidR="00DF3A04" w:rsidRDefault="00DF3A04" w:rsidP="006D7EB8">
      <w:pPr>
        <w:pStyle w:val="ListParagraph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5F5EF2" w:rsidRDefault="005F5EF2" w:rsidP="00996072">
      <w:pPr>
        <w:rPr>
          <w:rFonts w:cs="Arial"/>
          <w:b/>
        </w:rPr>
      </w:pPr>
    </w:p>
    <w:p w:rsidR="005F5EF2" w:rsidRDefault="005F5EF2" w:rsidP="00996072">
      <w:pPr>
        <w:rPr>
          <w:rFonts w:cs="Arial"/>
          <w:b/>
        </w:rPr>
      </w:pPr>
    </w:p>
    <w:p w:rsidR="00996072" w:rsidRPr="00996072" w:rsidRDefault="00996072" w:rsidP="00996072">
      <w:pPr>
        <w:rPr>
          <w:rFonts w:cs="Arial"/>
          <w:b/>
        </w:rPr>
      </w:pPr>
      <w:r w:rsidRPr="00996072">
        <w:rPr>
          <w:rFonts w:cs="Arial"/>
          <w:b/>
        </w:rPr>
        <w:t>Legal Issues</w:t>
      </w:r>
    </w:p>
    <w:p w:rsidR="00996072" w:rsidRPr="00996072" w:rsidRDefault="00996072" w:rsidP="00996072">
      <w:pPr>
        <w:pStyle w:val="ListParagraph"/>
        <w:rPr>
          <w:rFonts w:ascii="Arial" w:hAnsi="Arial" w:cs="Arial"/>
          <w:sz w:val="24"/>
          <w:szCs w:val="24"/>
        </w:rPr>
      </w:pPr>
    </w:p>
    <w:p w:rsidR="00996072" w:rsidRDefault="00622818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property</w:t>
      </w:r>
      <w:r w:rsidR="00E23D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its Title</w:t>
      </w:r>
      <w:r w:rsidR="00E23D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well known to the City Council.  By acquiring the long leasehold interest, the City Council will be creating an unencumbered freehold interest across the whole property in effect </w:t>
      </w:r>
      <w:r w:rsidR="00E23D21">
        <w:rPr>
          <w:rFonts w:ascii="Arial" w:hAnsi="Arial" w:cs="Arial"/>
          <w:sz w:val="24"/>
          <w:szCs w:val="24"/>
        </w:rPr>
        <w:lastRenderedPageBreak/>
        <w:t xml:space="preserve">because the </w:t>
      </w:r>
      <w:r>
        <w:rPr>
          <w:rFonts w:ascii="Arial" w:hAnsi="Arial" w:cs="Arial"/>
          <w:sz w:val="24"/>
          <w:szCs w:val="24"/>
        </w:rPr>
        <w:t xml:space="preserve">long lease </w:t>
      </w:r>
      <w:r w:rsidR="00E23D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currently in favour of the Vendor</w:t>
      </w:r>
      <w:r w:rsidR="00E23D21">
        <w:rPr>
          <w:rFonts w:ascii="Arial" w:hAnsi="Arial" w:cs="Arial"/>
          <w:sz w:val="24"/>
          <w:szCs w:val="24"/>
        </w:rPr>
        <w:t>) can be dissolved at the City Council’s discretion.</w:t>
      </w:r>
    </w:p>
    <w:p w:rsidR="00622818" w:rsidRDefault="00622818" w:rsidP="002C347D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22818" w:rsidRPr="001A0C17" w:rsidRDefault="00622818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required legal due diligence can be readily managed in-house.</w:t>
      </w:r>
    </w:p>
    <w:p w:rsidR="00E23D21" w:rsidRPr="00996072" w:rsidRDefault="00E23D21" w:rsidP="002C347D">
      <w:pPr>
        <w:rPr>
          <w:rFonts w:cs="Arial"/>
        </w:rPr>
      </w:pPr>
    </w:p>
    <w:p w:rsidR="007B6E54" w:rsidRDefault="007B6E54">
      <w:pPr>
        <w:rPr>
          <w:rFonts w:cs="Arial"/>
          <w:b/>
        </w:rPr>
      </w:pPr>
      <w:r w:rsidRPr="00996072">
        <w:rPr>
          <w:rFonts w:cs="Arial"/>
          <w:b/>
        </w:rPr>
        <w:t>Financial Issues</w:t>
      </w:r>
    </w:p>
    <w:p w:rsidR="00996072" w:rsidRPr="00FA0127" w:rsidRDefault="00996072">
      <w:pPr>
        <w:rPr>
          <w:rFonts w:cs="Arial"/>
        </w:rPr>
      </w:pPr>
    </w:p>
    <w:p w:rsidR="00200758" w:rsidRDefault="00622818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acquisition would be funded through </w:t>
      </w:r>
      <w:r w:rsidR="0056203D">
        <w:rPr>
          <w:rFonts w:ascii="Arial" w:hAnsi="Arial" w:cs="Arial"/>
          <w:sz w:val="24"/>
          <w:szCs w:val="24"/>
        </w:rPr>
        <w:t>prudential borrowing</w:t>
      </w:r>
      <w:r w:rsidR="00874004">
        <w:rPr>
          <w:rFonts w:ascii="Arial" w:hAnsi="Arial" w:cs="Arial"/>
          <w:sz w:val="24"/>
          <w:szCs w:val="24"/>
        </w:rPr>
        <w:t xml:space="preserve"> the revenue cost for which</w:t>
      </w:r>
      <w:r w:rsidR="00B228B1">
        <w:rPr>
          <w:rFonts w:ascii="Arial" w:hAnsi="Arial" w:cs="Arial"/>
          <w:sz w:val="24"/>
          <w:szCs w:val="24"/>
        </w:rPr>
        <w:t>, including the repayment of borrowing</w:t>
      </w:r>
      <w:r w:rsidR="002274C8">
        <w:rPr>
          <w:rFonts w:ascii="Arial" w:hAnsi="Arial" w:cs="Arial"/>
          <w:sz w:val="24"/>
          <w:szCs w:val="24"/>
        </w:rPr>
        <w:t>,</w:t>
      </w:r>
      <w:r w:rsidR="00B228B1">
        <w:rPr>
          <w:rFonts w:ascii="Arial" w:hAnsi="Arial" w:cs="Arial"/>
          <w:sz w:val="24"/>
          <w:szCs w:val="24"/>
        </w:rPr>
        <w:t xml:space="preserve"> </w:t>
      </w:r>
      <w:r w:rsidR="00874004">
        <w:rPr>
          <w:rFonts w:ascii="Arial" w:hAnsi="Arial" w:cs="Arial"/>
          <w:sz w:val="24"/>
          <w:szCs w:val="24"/>
        </w:rPr>
        <w:t xml:space="preserve">would be around £42k per annum. </w:t>
      </w:r>
      <w:r w:rsidR="000C5754">
        <w:rPr>
          <w:rFonts w:ascii="Arial" w:hAnsi="Arial" w:cs="Arial"/>
          <w:sz w:val="24"/>
          <w:szCs w:val="24"/>
        </w:rPr>
        <w:t xml:space="preserve"> </w:t>
      </w:r>
      <w:r w:rsidR="00874004">
        <w:rPr>
          <w:rFonts w:ascii="Arial" w:hAnsi="Arial" w:cs="Arial"/>
          <w:sz w:val="24"/>
          <w:szCs w:val="24"/>
        </w:rPr>
        <w:t xml:space="preserve">The </w:t>
      </w:r>
      <w:r w:rsidR="00B228B1">
        <w:rPr>
          <w:rFonts w:ascii="Arial" w:hAnsi="Arial" w:cs="Arial"/>
          <w:sz w:val="24"/>
          <w:szCs w:val="24"/>
        </w:rPr>
        <w:t xml:space="preserve">additional </w:t>
      </w:r>
      <w:r w:rsidR="00874004">
        <w:rPr>
          <w:rFonts w:ascii="Arial" w:hAnsi="Arial" w:cs="Arial"/>
          <w:sz w:val="24"/>
          <w:szCs w:val="24"/>
        </w:rPr>
        <w:t>rent</w:t>
      </w:r>
      <w:r w:rsidR="007906D7">
        <w:rPr>
          <w:rFonts w:ascii="Arial" w:hAnsi="Arial" w:cs="Arial"/>
          <w:sz w:val="24"/>
          <w:szCs w:val="24"/>
        </w:rPr>
        <w:t xml:space="preserve"> </w:t>
      </w:r>
      <w:r w:rsidR="00B228B1">
        <w:rPr>
          <w:rFonts w:ascii="Arial" w:hAnsi="Arial" w:cs="Arial"/>
          <w:sz w:val="24"/>
          <w:szCs w:val="24"/>
        </w:rPr>
        <w:t>would be £58k per annum i.e</w:t>
      </w:r>
      <w:r w:rsidR="000C5754">
        <w:rPr>
          <w:rFonts w:ascii="Arial" w:hAnsi="Arial" w:cs="Arial"/>
          <w:sz w:val="24"/>
          <w:szCs w:val="24"/>
        </w:rPr>
        <w:t>.</w:t>
      </w:r>
      <w:r w:rsidR="00B228B1">
        <w:rPr>
          <w:rFonts w:ascii="Arial" w:hAnsi="Arial" w:cs="Arial"/>
          <w:sz w:val="24"/>
          <w:szCs w:val="24"/>
        </w:rPr>
        <w:t xml:space="preserve"> a net increase </w:t>
      </w:r>
      <w:r w:rsidR="000C5754">
        <w:rPr>
          <w:rFonts w:ascii="Arial" w:hAnsi="Arial" w:cs="Arial"/>
          <w:sz w:val="24"/>
          <w:szCs w:val="24"/>
        </w:rPr>
        <w:t xml:space="preserve">in </w:t>
      </w:r>
      <w:r w:rsidR="00B228B1">
        <w:rPr>
          <w:rFonts w:ascii="Arial" w:hAnsi="Arial" w:cs="Arial"/>
          <w:sz w:val="24"/>
          <w:szCs w:val="24"/>
        </w:rPr>
        <w:t xml:space="preserve">income of </w:t>
      </w:r>
      <w:r w:rsidR="000C5754">
        <w:rPr>
          <w:rFonts w:ascii="Arial" w:hAnsi="Arial" w:cs="Arial"/>
          <w:sz w:val="24"/>
          <w:szCs w:val="24"/>
        </w:rPr>
        <w:t xml:space="preserve">around </w:t>
      </w:r>
      <w:r w:rsidR="00B228B1">
        <w:rPr>
          <w:rFonts w:ascii="Arial" w:hAnsi="Arial" w:cs="Arial"/>
          <w:sz w:val="24"/>
          <w:szCs w:val="24"/>
        </w:rPr>
        <w:t>£16k per annum</w:t>
      </w:r>
      <w:r w:rsidR="00D74129">
        <w:rPr>
          <w:rFonts w:ascii="Arial" w:hAnsi="Arial" w:cs="Arial"/>
          <w:sz w:val="24"/>
          <w:szCs w:val="24"/>
        </w:rPr>
        <w:t xml:space="preserve"> (post the cost of borrowing)</w:t>
      </w:r>
      <w:r w:rsidR="00B228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2818" w:rsidRPr="00FA0127" w:rsidRDefault="00622818" w:rsidP="002C347D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A17B8D" w:rsidRPr="00644384" w:rsidRDefault="00A17B8D" w:rsidP="002C347D">
      <w:pPr>
        <w:rPr>
          <w:rFonts w:cs="Arial"/>
          <w:b/>
        </w:rPr>
      </w:pPr>
      <w:r w:rsidRPr="00644384">
        <w:rPr>
          <w:rFonts w:cs="Arial"/>
          <w:b/>
        </w:rPr>
        <w:t>Environmental Impact</w:t>
      </w:r>
    </w:p>
    <w:p w:rsidR="00A17B8D" w:rsidRDefault="00A17B8D" w:rsidP="002C347D">
      <w:pPr>
        <w:pStyle w:val="ListParagraph"/>
        <w:spacing w:after="0"/>
        <w:ind w:left="436"/>
        <w:jc w:val="both"/>
        <w:rPr>
          <w:rFonts w:ascii="Arial" w:hAnsi="Arial" w:cs="Arial"/>
          <w:sz w:val="24"/>
          <w:szCs w:val="24"/>
        </w:rPr>
      </w:pPr>
    </w:p>
    <w:p w:rsidR="00A17B8D" w:rsidRDefault="006B18C4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environmental impact.</w:t>
      </w:r>
    </w:p>
    <w:p w:rsidR="00666F49" w:rsidRDefault="00666F49" w:rsidP="002C347D">
      <w:pPr>
        <w:jc w:val="both"/>
        <w:rPr>
          <w:rFonts w:cs="Arial"/>
        </w:rPr>
      </w:pPr>
    </w:p>
    <w:p w:rsidR="006B18C4" w:rsidRPr="00666F49" w:rsidRDefault="006B18C4" w:rsidP="002C347D">
      <w:pPr>
        <w:jc w:val="both"/>
        <w:rPr>
          <w:rFonts w:cs="Arial"/>
          <w:b/>
        </w:rPr>
      </w:pPr>
      <w:r w:rsidRPr="00666F49">
        <w:rPr>
          <w:rFonts w:cs="Arial"/>
          <w:b/>
        </w:rPr>
        <w:t>Risk Register</w:t>
      </w:r>
    </w:p>
    <w:p w:rsidR="006B18C4" w:rsidRPr="006B18C4" w:rsidRDefault="006B18C4" w:rsidP="002C347D">
      <w:pPr>
        <w:jc w:val="both"/>
        <w:rPr>
          <w:rFonts w:cs="Arial"/>
        </w:rPr>
      </w:pPr>
      <w:bookmarkStart w:id="0" w:name="_GoBack"/>
      <w:bookmarkEnd w:id="0"/>
    </w:p>
    <w:p w:rsidR="006B18C4" w:rsidRDefault="006B18C4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Risk Register is included as Appendix 2.</w:t>
      </w:r>
    </w:p>
    <w:p w:rsidR="000475E0" w:rsidRDefault="000475E0" w:rsidP="002C347D">
      <w:pPr>
        <w:jc w:val="both"/>
        <w:rPr>
          <w:rFonts w:cs="Arial"/>
        </w:rPr>
      </w:pPr>
    </w:p>
    <w:p w:rsidR="000475E0" w:rsidRPr="000475E0" w:rsidRDefault="000475E0" w:rsidP="002C347D">
      <w:pPr>
        <w:jc w:val="both"/>
        <w:rPr>
          <w:rFonts w:cs="Arial"/>
          <w:b/>
        </w:rPr>
      </w:pPr>
      <w:r w:rsidRPr="000475E0">
        <w:rPr>
          <w:rFonts w:cs="Arial"/>
          <w:b/>
        </w:rPr>
        <w:t>Equalities Impact</w:t>
      </w:r>
    </w:p>
    <w:p w:rsidR="000475E0" w:rsidRPr="000475E0" w:rsidRDefault="000475E0" w:rsidP="002C347D">
      <w:pPr>
        <w:jc w:val="both"/>
        <w:rPr>
          <w:rFonts w:cs="Arial"/>
        </w:rPr>
      </w:pPr>
    </w:p>
    <w:p w:rsidR="000475E0" w:rsidRDefault="000475E0" w:rsidP="002C347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equalities impact.</w:t>
      </w:r>
    </w:p>
    <w:p w:rsidR="00A17B8D" w:rsidRPr="00A17B8D" w:rsidRDefault="00A17B8D" w:rsidP="00A17B8D">
      <w:pPr>
        <w:jc w:val="both"/>
        <w:rPr>
          <w:rFonts w:cs="Arial"/>
        </w:rPr>
      </w:pPr>
    </w:p>
    <w:p w:rsidR="007B6E54" w:rsidRPr="00996072" w:rsidRDefault="007B6E54">
      <w:pPr>
        <w:rPr>
          <w:rFonts w:cs="Arial"/>
        </w:rPr>
      </w:pPr>
    </w:p>
    <w:p w:rsidR="00713675" w:rsidRPr="00996072" w:rsidRDefault="00713675" w:rsidP="0071367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 w:rsidRPr="00996072">
        <w:tc>
          <w:tcPr>
            <w:tcW w:w="8522" w:type="dxa"/>
          </w:tcPr>
          <w:p w:rsidR="00713675" w:rsidRPr="00996072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996072">
              <w:rPr>
                <w:rFonts w:cs="Arial"/>
                <w:b/>
                <w:bCs/>
              </w:rPr>
              <w:t>Name and contact details of author:-</w:t>
            </w:r>
          </w:p>
        </w:tc>
      </w:tr>
      <w:tr w:rsidR="00713675" w:rsidRPr="00996072">
        <w:tc>
          <w:tcPr>
            <w:tcW w:w="8522" w:type="dxa"/>
          </w:tcPr>
          <w:p w:rsidR="00713675" w:rsidRPr="00996072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</w:p>
          <w:p w:rsidR="00713675" w:rsidRPr="00996072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996072">
              <w:rPr>
                <w:rFonts w:cs="Arial"/>
              </w:rPr>
              <w:t>Name</w:t>
            </w:r>
            <w:r w:rsidR="00B844D1">
              <w:rPr>
                <w:rFonts w:cs="Arial"/>
              </w:rPr>
              <w:t>:  Jane Winfield</w:t>
            </w:r>
          </w:p>
        </w:tc>
      </w:tr>
      <w:tr w:rsidR="00713675" w:rsidRPr="00996072">
        <w:tc>
          <w:tcPr>
            <w:tcW w:w="8522" w:type="dxa"/>
          </w:tcPr>
          <w:p w:rsidR="00713675" w:rsidRPr="00996072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 w:rsidRPr="00996072">
              <w:rPr>
                <w:rFonts w:cs="Arial"/>
              </w:rPr>
              <w:t>Job title</w:t>
            </w:r>
            <w:r w:rsidR="00B844D1">
              <w:rPr>
                <w:rFonts w:cs="Arial"/>
              </w:rPr>
              <w:t>:  Service Manger</w:t>
            </w:r>
          </w:p>
        </w:tc>
      </w:tr>
      <w:tr w:rsidR="00713675" w:rsidRPr="00996072">
        <w:tc>
          <w:tcPr>
            <w:tcW w:w="8522" w:type="dxa"/>
          </w:tcPr>
          <w:p w:rsidR="00713675" w:rsidRPr="00996072" w:rsidRDefault="00B844D1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</w:rPr>
            </w:pPr>
            <w:r>
              <w:rPr>
                <w:rFonts w:cs="Arial"/>
              </w:rPr>
              <w:t>Regeneration &amp; Major Projects</w:t>
            </w:r>
          </w:p>
        </w:tc>
      </w:tr>
      <w:tr w:rsidR="00713675" w:rsidRPr="00996072">
        <w:tc>
          <w:tcPr>
            <w:tcW w:w="8522" w:type="dxa"/>
          </w:tcPr>
          <w:p w:rsidR="00713675" w:rsidRPr="00996072" w:rsidRDefault="00713675" w:rsidP="00AC566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color w:val="0000FF"/>
                <w:u w:val="single"/>
              </w:rPr>
            </w:pPr>
            <w:r w:rsidRPr="00996072">
              <w:rPr>
                <w:rFonts w:cs="Arial"/>
              </w:rPr>
              <w:t xml:space="preserve">Tel:  01865 </w:t>
            </w:r>
            <w:r w:rsidR="00B844D1">
              <w:rPr>
                <w:rFonts w:cs="Arial"/>
              </w:rPr>
              <w:t>252551</w:t>
            </w:r>
            <w:r w:rsidRPr="00996072">
              <w:rPr>
                <w:rFonts w:cs="Arial"/>
              </w:rPr>
              <w:t xml:space="preserve">  </w:t>
            </w:r>
            <w:r w:rsidR="00AC566A">
              <w:rPr>
                <w:rFonts w:cs="Arial"/>
              </w:rPr>
              <w:t>E</w:t>
            </w:r>
            <w:r w:rsidRPr="00996072">
              <w:rPr>
                <w:rFonts w:cs="Arial"/>
              </w:rPr>
              <w:t xml:space="preserve">-mail:  </w:t>
            </w:r>
            <w:r w:rsidR="00B844D1">
              <w:rPr>
                <w:rFonts w:cs="Arial"/>
              </w:rPr>
              <w:t>jwinfield@oxford.gov.uk</w:t>
            </w:r>
          </w:p>
        </w:tc>
      </w:tr>
    </w:tbl>
    <w:p w:rsidR="00F4367A" w:rsidRDefault="00F4367A" w:rsidP="00430586">
      <w:pPr>
        <w:rPr>
          <w:rFonts w:cs="Arial"/>
          <w:b/>
          <w:bCs/>
        </w:rPr>
      </w:pPr>
    </w:p>
    <w:sectPr w:rsidR="00F4367A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0A" w:rsidRDefault="00DC600A">
      <w:r>
        <w:separator/>
      </w:r>
    </w:p>
  </w:endnote>
  <w:endnote w:type="continuationSeparator" w:id="0">
    <w:p w:rsidR="00DC600A" w:rsidRDefault="00D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0A" w:rsidRDefault="00DC600A">
      <w:r>
        <w:separator/>
      </w:r>
    </w:p>
  </w:footnote>
  <w:footnote w:type="continuationSeparator" w:id="0">
    <w:p w:rsidR="00DC600A" w:rsidRDefault="00DC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65C"/>
    <w:multiLevelType w:val="hybridMultilevel"/>
    <w:tmpl w:val="E04A3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0201BC"/>
    <w:multiLevelType w:val="hybridMultilevel"/>
    <w:tmpl w:val="7AEAC81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3245"/>
    <w:multiLevelType w:val="hybridMultilevel"/>
    <w:tmpl w:val="08DE75F8"/>
    <w:lvl w:ilvl="0" w:tplc="DCD2F484">
      <w:start w:val="1"/>
      <w:numFmt w:val="lowerRoman"/>
      <w:lvlText w:val="(%1)"/>
      <w:lvlJc w:val="left"/>
      <w:pPr>
        <w:ind w:left="18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3575D"/>
    <w:rsid w:val="000475E0"/>
    <w:rsid w:val="00053AA8"/>
    <w:rsid w:val="00056263"/>
    <w:rsid w:val="00067156"/>
    <w:rsid w:val="00076B4C"/>
    <w:rsid w:val="000A1872"/>
    <w:rsid w:val="000C3928"/>
    <w:rsid w:val="000C5754"/>
    <w:rsid w:val="000D2A3B"/>
    <w:rsid w:val="000D315C"/>
    <w:rsid w:val="00125555"/>
    <w:rsid w:val="001A0C17"/>
    <w:rsid w:val="00200758"/>
    <w:rsid w:val="00201F79"/>
    <w:rsid w:val="002274C8"/>
    <w:rsid w:val="002748DA"/>
    <w:rsid w:val="002B763B"/>
    <w:rsid w:val="002C347D"/>
    <w:rsid w:val="00344B5A"/>
    <w:rsid w:val="003508C7"/>
    <w:rsid w:val="00364539"/>
    <w:rsid w:val="00365AD4"/>
    <w:rsid w:val="003E4219"/>
    <w:rsid w:val="00404BBC"/>
    <w:rsid w:val="004231A3"/>
    <w:rsid w:val="00430586"/>
    <w:rsid w:val="00435CC2"/>
    <w:rsid w:val="00443515"/>
    <w:rsid w:val="00465EAF"/>
    <w:rsid w:val="00491F4D"/>
    <w:rsid w:val="004D0C35"/>
    <w:rsid w:val="004E24BF"/>
    <w:rsid w:val="005012C8"/>
    <w:rsid w:val="0050472D"/>
    <w:rsid w:val="0052634D"/>
    <w:rsid w:val="0056203D"/>
    <w:rsid w:val="00574A1A"/>
    <w:rsid w:val="005E0224"/>
    <w:rsid w:val="005F5EF2"/>
    <w:rsid w:val="00622818"/>
    <w:rsid w:val="00623C2F"/>
    <w:rsid w:val="00644384"/>
    <w:rsid w:val="006457F2"/>
    <w:rsid w:val="00666F49"/>
    <w:rsid w:val="006679A0"/>
    <w:rsid w:val="0068175B"/>
    <w:rsid w:val="006B18C4"/>
    <w:rsid w:val="006B2E78"/>
    <w:rsid w:val="006C65D0"/>
    <w:rsid w:val="006C68A0"/>
    <w:rsid w:val="006D4EA6"/>
    <w:rsid w:val="006D7EB8"/>
    <w:rsid w:val="006E3B55"/>
    <w:rsid w:val="006F416B"/>
    <w:rsid w:val="00713675"/>
    <w:rsid w:val="007334C5"/>
    <w:rsid w:val="00734C16"/>
    <w:rsid w:val="007906D7"/>
    <w:rsid w:val="00794957"/>
    <w:rsid w:val="007B6E54"/>
    <w:rsid w:val="007D339B"/>
    <w:rsid w:val="007F1DE4"/>
    <w:rsid w:val="00855C66"/>
    <w:rsid w:val="00874004"/>
    <w:rsid w:val="00886774"/>
    <w:rsid w:val="008919BD"/>
    <w:rsid w:val="008A2C85"/>
    <w:rsid w:val="008D3DDB"/>
    <w:rsid w:val="0095250D"/>
    <w:rsid w:val="00971689"/>
    <w:rsid w:val="00973E90"/>
    <w:rsid w:val="00996072"/>
    <w:rsid w:val="009A127D"/>
    <w:rsid w:val="009E34B8"/>
    <w:rsid w:val="00A03F76"/>
    <w:rsid w:val="00A17B8D"/>
    <w:rsid w:val="00A92D8F"/>
    <w:rsid w:val="00A94D8F"/>
    <w:rsid w:val="00AC566A"/>
    <w:rsid w:val="00AD3292"/>
    <w:rsid w:val="00AE5AB8"/>
    <w:rsid w:val="00B228B1"/>
    <w:rsid w:val="00B3672E"/>
    <w:rsid w:val="00B844D1"/>
    <w:rsid w:val="00BC498D"/>
    <w:rsid w:val="00BD55F5"/>
    <w:rsid w:val="00C02F33"/>
    <w:rsid w:val="00C2692F"/>
    <w:rsid w:val="00C34A97"/>
    <w:rsid w:val="00C3569C"/>
    <w:rsid w:val="00C76A1F"/>
    <w:rsid w:val="00CC3662"/>
    <w:rsid w:val="00CC6ACB"/>
    <w:rsid w:val="00CD0BBE"/>
    <w:rsid w:val="00CF1753"/>
    <w:rsid w:val="00CF6654"/>
    <w:rsid w:val="00CF6799"/>
    <w:rsid w:val="00D03F14"/>
    <w:rsid w:val="00D74129"/>
    <w:rsid w:val="00DA4669"/>
    <w:rsid w:val="00DB30A2"/>
    <w:rsid w:val="00DC5E23"/>
    <w:rsid w:val="00DC600A"/>
    <w:rsid w:val="00DF3A04"/>
    <w:rsid w:val="00E01F42"/>
    <w:rsid w:val="00E13077"/>
    <w:rsid w:val="00E23D21"/>
    <w:rsid w:val="00E241DD"/>
    <w:rsid w:val="00E2701C"/>
    <w:rsid w:val="00E37951"/>
    <w:rsid w:val="00E53236"/>
    <w:rsid w:val="00EA0DB1"/>
    <w:rsid w:val="00EA2FDD"/>
    <w:rsid w:val="00EF3528"/>
    <w:rsid w:val="00F4367A"/>
    <w:rsid w:val="00F7606D"/>
    <w:rsid w:val="00FA0127"/>
    <w:rsid w:val="00FA624C"/>
    <w:rsid w:val="00FA6FC0"/>
    <w:rsid w:val="00FD0845"/>
    <w:rsid w:val="00FD34CA"/>
    <w:rsid w:val="00FD7680"/>
    <w:rsid w:val="00FE2EC2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5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94D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64539"/>
    <w:pPr>
      <w:widowControl w:val="0"/>
      <w:spacing w:after="120"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5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94D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64539"/>
    <w:pPr>
      <w:widowControl w:val="0"/>
      <w:spacing w:after="120"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840E-FDA9-4A77-AB46-6E08DDC2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3843390D</Template>
  <TotalTime>18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nkennedy</dc:creator>
  <cp:lastModifiedBy>catherine.phythian</cp:lastModifiedBy>
  <cp:revision>7</cp:revision>
  <cp:lastPrinted>2015-12-01T11:04:00Z</cp:lastPrinted>
  <dcterms:created xsi:type="dcterms:W3CDTF">2015-12-01T10:57:00Z</dcterms:created>
  <dcterms:modified xsi:type="dcterms:W3CDTF">2015-12-01T12:11:00Z</dcterms:modified>
</cp:coreProperties>
</file>